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b w:val="1"/>
          <w:color w:val="0000cd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0000cd"/>
          <w:sz w:val="21"/>
          <w:szCs w:val="21"/>
          <w:rtl w:val="0"/>
        </w:rPr>
        <w:t xml:space="preserve">В ДОО функционируют специальные помещения: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кабинет заведующего;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методический кабинет;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медицинский кабинет (кабинет приёма, процедурный, изолятор);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музыкальный зал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спортивный зал;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кабинет педагога-психолога;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логопедический кабинет;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пищеблок;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прачечная.</w:t>
      </w:r>
      <w:r w:rsidDel="00000000" w:rsidR="00000000" w:rsidRPr="00000000">
        <w:rPr>
          <w:rFonts w:ascii="Georgia" w:cs="Georgia" w:eastAsia="Georgia" w:hAnsi="Georgia"/>
          <w:color w:val="555555"/>
          <w:sz w:val="21"/>
          <w:szCs w:val="21"/>
          <w:rtl w:val="0"/>
        </w:rPr>
        <w:t xml:space="preserve">             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Все помещения оборудованы в соответствии с их функциональным назначением и соблюдением санитарно – гигиенических требований.  В ДОО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 норм на группах, наличием моющих средств для мытья посуды, стирки белья и спецодежды.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color w:val="0033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Групповые помещения ДОО имеют отдельные спальни, санузлы, приёмные комнаты, буфетные.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